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62" w:rsidRDefault="002F49DE" w:rsidP="009E3CA6">
      <w:pPr>
        <w:jc w:val="both"/>
      </w:pPr>
      <w:r>
        <w:t xml:space="preserve"> </w:t>
      </w:r>
    </w:p>
    <w:p w:rsidR="002C3262" w:rsidRDefault="002C3262" w:rsidP="009E3CA6">
      <w:pPr>
        <w:jc w:val="both"/>
      </w:pPr>
    </w:p>
    <w:p w:rsidR="002C3262" w:rsidRDefault="002C3262" w:rsidP="009E3CA6">
      <w:pPr>
        <w:jc w:val="both"/>
      </w:pPr>
    </w:p>
    <w:p w:rsidR="002C3262" w:rsidRDefault="002C3262" w:rsidP="009E3CA6">
      <w:pPr>
        <w:jc w:val="both"/>
      </w:pPr>
    </w:p>
    <w:p w:rsidR="00F316A1" w:rsidRDefault="00F316A1" w:rsidP="00F316A1">
      <w:pPr>
        <w:pStyle w:val="4"/>
        <w:jc w:val="right"/>
      </w:pPr>
      <w:r>
        <w:t>приложение</w:t>
      </w:r>
    </w:p>
    <w:p w:rsidR="00F316A1" w:rsidRDefault="00F316A1" w:rsidP="00F316A1">
      <w:pPr>
        <w:pStyle w:val="4"/>
        <w:jc w:val="center"/>
      </w:pPr>
      <w:r>
        <w:t>О порядке взимания государственной пошлины в сфере оборота оружия</w:t>
      </w:r>
    </w:p>
    <w:p w:rsidR="00F316A1" w:rsidRDefault="00F316A1" w:rsidP="00F316A1">
      <w:pPr>
        <w:spacing w:before="100" w:beforeAutospacing="1" w:after="100" w:afterAutospacing="1"/>
        <w:jc w:val="both"/>
      </w:pPr>
      <w:proofErr w:type="gramStart"/>
      <w:r>
        <w:t xml:space="preserve">С 1 октября 2017 г. изменяется порядок уплаты единовременных сборов, взимаемых в сфере оборота оружия, размеры которых в настоящее время установлены </w:t>
      </w:r>
      <w:hyperlink r:id="rId5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8 июня 1998 г. № 574 «О размерах единовременных сборов, взимаемых за выдачу лицензий и разрешений, предусмотренных Федеральным законом «Об оружии», а также за продление срока их действия». </w:t>
      </w:r>
      <w:proofErr w:type="gramEnd"/>
    </w:p>
    <w:p w:rsidR="00F316A1" w:rsidRDefault="00F316A1" w:rsidP="00F316A1">
      <w:pPr>
        <w:spacing w:before="100" w:beforeAutospacing="1" w:after="100" w:afterAutospacing="1"/>
        <w:jc w:val="both"/>
      </w:pPr>
      <w:r>
        <w:t>Уплата единовременных сборов с 1 октября 2017 г. недопустима.</w:t>
      </w:r>
    </w:p>
    <w:p w:rsidR="00F316A1" w:rsidRDefault="00F316A1" w:rsidP="00F316A1">
      <w:pPr>
        <w:pStyle w:val="a6"/>
        <w:spacing w:before="0" w:beforeAutospacing="0" w:after="0" w:afterAutospacing="0"/>
        <w:jc w:val="both"/>
      </w:pPr>
      <w:r>
        <w:t>В связи с чем, лица, обратившиеся до 1 октября 2017 г. за получением соответствующей государственной услуги в федеральный орган исполнительной власти, уполномоченный в сфере оборота оружия, имеют право оплатить единовременный сбор, установленный указанным постановлением Правительства Российской Федерации, но не позднее 30 сентября 2017 г. включительно.</w:t>
      </w:r>
      <w:r>
        <w:br/>
      </w:r>
      <w:r>
        <w:br/>
      </w:r>
    </w:p>
    <w:p w:rsidR="00F316A1" w:rsidRDefault="00F316A1" w:rsidP="00F316A1">
      <w:pPr>
        <w:pStyle w:val="a6"/>
        <w:spacing w:before="0" w:beforeAutospacing="0" w:after="0" w:afterAutospacing="0"/>
        <w:jc w:val="both"/>
      </w:pPr>
      <w:r>
        <w:t>Размеры государственной пошлины, уплачиваемой с 1 октября 2017 г. за совершение юридически значимых действий в сфере оборота оружия, устанавливаются Федеральными законами от 1 июля 2017 г. № 145-ФЗ «О внесении изменений в статью 333</w:t>
      </w:r>
      <w:r>
        <w:rPr>
          <w:vertAlign w:val="superscript"/>
        </w:rPr>
        <w:t>33</w:t>
      </w:r>
      <w:r>
        <w:t xml:space="preserve"> Налогового кодекса Российской Федерации» и № 151-ФЗ «О внесении изменений в Федеральный закон «Об оружии».             </w:t>
      </w:r>
    </w:p>
    <w:p w:rsidR="00F316A1" w:rsidRDefault="00F316A1" w:rsidP="00F316A1">
      <w:pPr>
        <w:spacing w:before="100" w:beforeAutospacing="1" w:after="100" w:afterAutospacing="1"/>
        <w:jc w:val="both"/>
      </w:pPr>
      <w:r>
        <w:t>Так, за выдачу лицензии на приобретение, экспонирование или коллекционирование оружия и патронов к нему, за исключением выдачи лицензии, предусмотренной абзацем третьим подпункта 136 пункта 1 статьи 33333 Налогового кодекса Российской Федерации (далее - Кодекс), уплачивается 2 000 рублей;</w:t>
      </w:r>
    </w:p>
    <w:p w:rsidR="00F316A1" w:rsidRDefault="00F316A1" w:rsidP="00F316A1">
      <w:pPr>
        <w:spacing w:before="100" w:beforeAutospacing="1" w:after="100" w:afterAutospacing="1"/>
        <w:jc w:val="both"/>
      </w:pPr>
      <w:r>
        <w:t>- за выдачу (продление срока действия) лицензии на приобретение газового пистолета, револьвера,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формой, уплачивается 500 рублей;</w:t>
      </w:r>
    </w:p>
    <w:p w:rsidR="00F316A1" w:rsidRDefault="00F316A1" w:rsidP="00F316A1">
      <w:pPr>
        <w:spacing w:before="100" w:beforeAutospacing="1" w:after="100" w:afterAutospacing="1"/>
        <w:jc w:val="both"/>
      </w:pPr>
      <w:r>
        <w:t>- за выдачу (продление срока действия) разрешения на хранение оружия, хранение и ношение оружия, хранение и использование оружия, ввоз в Российскую Федерацию оружия и патронов к нему или вывоз из Российской Федерации оружия и патронов к нему уплачивается 500 рублей;</w:t>
      </w:r>
    </w:p>
    <w:p w:rsidR="00F316A1" w:rsidRDefault="00F316A1" w:rsidP="00F316A1">
      <w:pPr>
        <w:spacing w:before="100" w:beforeAutospacing="1" w:after="100" w:afterAutospacing="1"/>
        <w:jc w:val="both"/>
      </w:pPr>
      <w:r>
        <w:t>- за переоформление лицензии на приобретение оружия и патронов к нему, разрешения на хранение оружия, хранение и ношение оружия, хранение и использование оружия, ввоз в Российскую Федерацию оружия и патронов к нему или вывоз из Российской Федерации оружия и патронов к нему уплачивается 250 рублей.</w:t>
      </w:r>
    </w:p>
    <w:p w:rsidR="00F316A1" w:rsidRDefault="00F316A1" w:rsidP="00F316A1">
      <w:pPr>
        <w:spacing w:before="100" w:beforeAutospacing="1" w:after="100" w:afterAutospacing="1"/>
        <w:jc w:val="both"/>
      </w:pPr>
      <w:r>
        <w:t>Порядок уплаты и сроки уплаты государственной пошлины за совершение юридически значимых действий, определенных главой 25.3 Кодекса, установлен статьей 33318 Кодекса.</w:t>
      </w:r>
    </w:p>
    <w:p w:rsidR="00F316A1" w:rsidRDefault="00F316A1" w:rsidP="00F316A1">
      <w:pPr>
        <w:spacing w:before="100" w:beforeAutospacing="1" w:after="100" w:afterAutospacing="1"/>
        <w:jc w:val="both"/>
      </w:pPr>
      <w:r>
        <w:t>При обращении за совершением юридически значимых действий в сфере оборота оружия государственная пошлина уплачивается до подачи заявлений и (или) документов на совершение таких действий либо до подачи соответствующих документов (подпункт 6 пункта 1 статьи 333</w:t>
      </w:r>
      <w:r>
        <w:rPr>
          <w:vertAlign w:val="superscript"/>
        </w:rPr>
        <w:t xml:space="preserve">18 </w:t>
      </w:r>
      <w:r>
        <w:t>Кодекса).</w:t>
      </w:r>
    </w:p>
    <w:p w:rsidR="00F316A1" w:rsidRDefault="00F316A1" w:rsidP="00F316A1">
      <w:pPr>
        <w:spacing w:before="100" w:beforeAutospacing="1" w:after="100" w:afterAutospacing="1"/>
        <w:jc w:val="both"/>
      </w:pPr>
      <w:r>
        <w:t xml:space="preserve">Государственная пошлина уплачивается по месту совершения юридически значимого действия в наличной или безналичной </w:t>
      </w:r>
      <w:proofErr w:type="gramStart"/>
      <w:r>
        <w:t>формах</w:t>
      </w:r>
      <w:proofErr w:type="gramEnd"/>
      <w:r>
        <w:t xml:space="preserve"> (пункт 3 статьи 333</w:t>
      </w:r>
      <w:r>
        <w:rPr>
          <w:vertAlign w:val="superscript"/>
        </w:rPr>
        <w:t>18</w:t>
      </w:r>
      <w:r>
        <w:t xml:space="preserve"> Кодекса).</w:t>
      </w:r>
    </w:p>
    <w:p w:rsidR="00F316A1" w:rsidRDefault="00F316A1" w:rsidP="00F316A1">
      <w:pPr>
        <w:spacing w:before="100" w:beforeAutospacing="1" w:after="100" w:afterAutospacing="1"/>
        <w:jc w:val="both"/>
      </w:pPr>
      <w:r>
        <w:t xml:space="preserve">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</w:t>
      </w:r>
      <w:r>
        <w:lastRenderedPageBreak/>
        <w:t>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F316A1" w:rsidRDefault="00F316A1" w:rsidP="00F316A1">
      <w:pPr>
        <w:spacing w:before="100" w:beforeAutospacing="1" w:after="100" w:afterAutospacing="1"/>
        <w:jc w:val="both"/>
      </w:pPr>
      <w: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F316A1" w:rsidRDefault="00F316A1" w:rsidP="00F316A1">
      <w:pPr>
        <w:spacing w:before="100" w:beforeAutospacing="1" w:after="100" w:afterAutospacing="1"/>
        <w:jc w:val="both"/>
      </w:pPr>
      <w:r>
        <w:t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 (далее – ГИС ГМП), предусмотренной Федеральным законом от 27 июля 2010 г. № 210-ФЗ «Об организации представления государственных и муниципальных услуг».</w:t>
      </w:r>
    </w:p>
    <w:p w:rsidR="00F316A1" w:rsidRDefault="00F316A1" w:rsidP="00F316A1">
      <w:pPr>
        <w:spacing w:before="100" w:beforeAutospacing="1" w:after="100" w:afterAutospacing="1"/>
        <w:jc w:val="both"/>
      </w:pPr>
      <w:r>
        <w:t>При наличии информации об уплате государственной пошлины, содержащейся в ГИС ГМП, дополнительное подтверждение уплаты плательщиком государственной пошлины не требуется.</w:t>
      </w:r>
    </w:p>
    <w:p w:rsidR="00F316A1" w:rsidRDefault="00F316A1" w:rsidP="00F316A1">
      <w:pPr>
        <w:spacing w:before="100" w:beforeAutospacing="1" w:after="100" w:afterAutospacing="1"/>
        <w:jc w:val="both"/>
      </w:pPr>
      <w:proofErr w:type="gramStart"/>
      <w:r>
        <w:t>В целях стимулирования представления государственных услуг в электронной форме пунктом 4 статьи 333</w:t>
      </w:r>
      <w:r>
        <w:rPr>
          <w:vertAlign w:val="superscript"/>
        </w:rPr>
        <w:t xml:space="preserve">35 </w:t>
      </w:r>
      <w:r>
        <w:t>Кодекса предусмотрено, что размеры государственной пошлины, установленные главой 25.3 Кодекса, за совершение юридически значимых действий в отношении физических лиц, до 1 января 2019 г. применяются с учетом коэффициента 0,7, (то есть со скидкой в 30%) в случае подачи заявления о совершении указанных действий и уплаты соответствующей государственной</w:t>
      </w:r>
      <w:proofErr w:type="gramEnd"/>
      <w:r>
        <w:t xml:space="preserve"> пошлины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единой системой идентификац</w:t>
      </w:r>
      <w:proofErr w:type="gramStart"/>
      <w:r>
        <w:t>ии и ау</w:t>
      </w:r>
      <w:proofErr w:type="gramEnd"/>
      <w:r>
        <w:t>тентификации.</w:t>
      </w:r>
    </w:p>
    <w:p w:rsidR="00F316A1" w:rsidRDefault="00F316A1" w:rsidP="00F316A1">
      <w:pPr>
        <w:spacing w:before="100" w:beforeAutospacing="1" w:after="100" w:afterAutospacing="1"/>
        <w:jc w:val="both"/>
      </w:pPr>
      <w:r>
        <w:t xml:space="preserve">Плательщик имеет возможность исполнить обязанность по уплате налогов, сборов и иных платежей путем представления в банк соответствующего поручения на перечисление денежных </w:t>
      </w:r>
      <w:proofErr w:type="gramStart"/>
      <w:r>
        <w:t>средств</w:t>
      </w:r>
      <w:proofErr w:type="gramEnd"/>
      <w:r>
        <w:t xml:space="preserve"> как на бумажном носителе, так и в электронном виде по сети Интернет либо путем внесения денежных средств через банкоматы и платежные терминалы кредитной организации.</w:t>
      </w:r>
    </w:p>
    <w:p w:rsidR="00F316A1" w:rsidRDefault="00F316A1" w:rsidP="00F316A1">
      <w:pPr>
        <w:spacing w:before="100" w:beforeAutospacing="1" w:after="100" w:afterAutospacing="1"/>
        <w:jc w:val="both"/>
      </w:pPr>
      <w:r>
        <w:t>Кодексом не предусмотрена уплата государственной пошлины через юридических лиц, не являющихся банками, в том числе через платежных агентов и банковских платежных агентов, а также через платежные терминалы платежных агентов.</w:t>
      </w:r>
    </w:p>
    <w:p w:rsidR="00F316A1" w:rsidRDefault="00F316A1" w:rsidP="00F316A1">
      <w:pPr>
        <w:spacing w:before="100" w:beforeAutospacing="1" w:after="100" w:afterAutospacing="1"/>
        <w:jc w:val="both"/>
      </w:pPr>
      <w:r>
        <w:t>Уплата сбора, в частности, государственной пошлины, за плательщика сбора может осуществляться иным лицом, в том числе представителем плательщика сбора (пункты 1 и 8 статьи 45 Кодекса).</w:t>
      </w:r>
    </w:p>
    <w:p w:rsidR="00F316A1" w:rsidRDefault="00F316A1" w:rsidP="00F316A1">
      <w:pPr>
        <w:spacing w:before="100" w:beforeAutospacing="1" w:after="100" w:afterAutospacing="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плательщик сбора (государственной пошлины) не имеет возможности самостоятельно уплатить данный сбор, то согласно статье 26 Кодекса плательщик сбора (государственной пошлины) может участвовать в отношениях, регулируемых законодательством о налогах и сборах через законного или уполномоченного представителя, если иное не предусмотрено Кодексом (пункт 1 статьи 26 Кодекса). Полномочия представителя должны быть документально подтверждены в соответствии с Кодексом и иными федеральными законами (пункт 3 статьи 26 Кодекса).</w:t>
      </w:r>
    </w:p>
    <w:p w:rsidR="00F316A1" w:rsidRDefault="00F316A1" w:rsidP="00F316A1">
      <w:pPr>
        <w:spacing w:before="100" w:beforeAutospacing="1" w:after="100" w:afterAutospacing="1"/>
        <w:jc w:val="both"/>
      </w:pPr>
      <w:r>
        <w:t>Законными представителями плательщика сбора (государственной пошлины) – организации признаются лица, уполномоченные представлять указанную организацию на основании закона или ее учредительных документов (статья 27 Кодекса).</w:t>
      </w:r>
    </w:p>
    <w:p w:rsidR="00F316A1" w:rsidRDefault="00F316A1" w:rsidP="00F316A1">
      <w:pPr>
        <w:spacing w:before="100" w:beforeAutospacing="1" w:after="100" w:afterAutospacing="1"/>
        <w:jc w:val="both"/>
      </w:pPr>
      <w:r>
        <w:t>Законными представителями плательщика сбора (государственной пошлины) –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F316A1" w:rsidRDefault="00F316A1" w:rsidP="00F316A1">
      <w:pPr>
        <w:spacing w:before="100" w:beforeAutospacing="1" w:after="100" w:afterAutospacing="1"/>
        <w:jc w:val="both"/>
      </w:pPr>
      <w:r>
        <w:t>При уплате государственной пошлины за совершение вышеуказанных действий представителем или иным лицом за плательщика государственной пошлины, в платежном документе на перечисление суммы государственной пошлины в бюджет должно быть указано, что представитель или иное лицо действуют от имени ее плательщика.</w:t>
      </w:r>
    </w:p>
    <w:p w:rsidR="002C3262" w:rsidRPr="00F316A1" w:rsidRDefault="00F316A1" w:rsidP="00F316A1">
      <w:pPr>
        <w:jc w:val="both"/>
        <w:rPr>
          <w:b/>
          <w:i/>
        </w:rPr>
      </w:pPr>
      <w:r>
        <w:rPr>
          <w:b/>
          <w:i/>
        </w:rPr>
        <w:t>Использовалась информация интернет ресурса-с</w:t>
      </w:r>
      <w:proofErr w:type="gramStart"/>
      <w:r w:rsidRPr="00F316A1">
        <w:rPr>
          <w:b/>
          <w:i/>
        </w:rPr>
        <w:t>http</w:t>
      </w:r>
      <w:proofErr w:type="gramEnd"/>
      <w:r w:rsidRPr="00F316A1">
        <w:rPr>
          <w:b/>
          <w:i/>
        </w:rPr>
        <w:t>://rosgvard.ru/ru/page/index/o-poryadke-vzimaniya-gosudarstvennoj-poshliny-v-sfere-oborota-oruzhiya</w:t>
      </w:r>
      <w:r>
        <w:rPr>
          <w:b/>
          <w:i/>
        </w:rPr>
        <w:t xml:space="preserve"> </w:t>
      </w:r>
    </w:p>
    <w:sectPr w:rsidR="002C3262" w:rsidRPr="00F316A1" w:rsidSect="00F3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32B94"/>
    <w:multiLevelType w:val="hybridMultilevel"/>
    <w:tmpl w:val="40D6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6715"/>
    <w:rsid w:val="00064AB9"/>
    <w:rsid w:val="00071077"/>
    <w:rsid w:val="00096121"/>
    <w:rsid w:val="000A2B6E"/>
    <w:rsid w:val="000A44D2"/>
    <w:rsid w:val="000C11E8"/>
    <w:rsid w:val="000F0682"/>
    <w:rsid w:val="001255B8"/>
    <w:rsid w:val="0013475B"/>
    <w:rsid w:val="00134ECB"/>
    <w:rsid w:val="00141D2B"/>
    <w:rsid w:val="00187213"/>
    <w:rsid w:val="001A3098"/>
    <w:rsid w:val="001D169B"/>
    <w:rsid w:val="001E40D1"/>
    <w:rsid w:val="001F1642"/>
    <w:rsid w:val="001F5A90"/>
    <w:rsid w:val="00200EBC"/>
    <w:rsid w:val="00234AB0"/>
    <w:rsid w:val="002B4D2A"/>
    <w:rsid w:val="002B5476"/>
    <w:rsid w:val="002C3262"/>
    <w:rsid w:val="002F49DE"/>
    <w:rsid w:val="002F675D"/>
    <w:rsid w:val="002F7AE8"/>
    <w:rsid w:val="00302649"/>
    <w:rsid w:val="00314769"/>
    <w:rsid w:val="00321DAF"/>
    <w:rsid w:val="00324DA1"/>
    <w:rsid w:val="003451A9"/>
    <w:rsid w:val="003D3A96"/>
    <w:rsid w:val="00424EFC"/>
    <w:rsid w:val="00456029"/>
    <w:rsid w:val="00461A23"/>
    <w:rsid w:val="004644C6"/>
    <w:rsid w:val="00473813"/>
    <w:rsid w:val="00497865"/>
    <w:rsid w:val="004E0E25"/>
    <w:rsid w:val="0051773B"/>
    <w:rsid w:val="00552FDB"/>
    <w:rsid w:val="00563687"/>
    <w:rsid w:val="00580105"/>
    <w:rsid w:val="005C7284"/>
    <w:rsid w:val="0062507C"/>
    <w:rsid w:val="00654D01"/>
    <w:rsid w:val="00667105"/>
    <w:rsid w:val="006B4C22"/>
    <w:rsid w:val="006C560F"/>
    <w:rsid w:val="006C75C5"/>
    <w:rsid w:val="006E3318"/>
    <w:rsid w:val="00713129"/>
    <w:rsid w:val="007179AD"/>
    <w:rsid w:val="0073224A"/>
    <w:rsid w:val="00744E29"/>
    <w:rsid w:val="00754AF7"/>
    <w:rsid w:val="00797BA7"/>
    <w:rsid w:val="007C23F6"/>
    <w:rsid w:val="007C30EC"/>
    <w:rsid w:val="007D7225"/>
    <w:rsid w:val="007E4482"/>
    <w:rsid w:val="00806C8B"/>
    <w:rsid w:val="00820A81"/>
    <w:rsid w:val="008556E3"/>
    <w:rsid w:val="008A223E"/>
    <w:rsid w:val="008A6B3F"/>
    <w:rsid w:val="008C16D2"/>
    <w:rsid w:val="008C250A"/>
    <w:rsid w:val="008F310D"/>
    <w:rsid w:val="009303D7"/>
    <w:rsid w:val="00977096"/>
    <w:rsid w:val="009D0D29"/>
    <w:rsid w:val="009E3CA6"/>
    <w:rsid w:val="00A46A37"/>
    <w:rsid w:val="00A5500E"/>
    <w:rsid w:val="00A71D14"/>
    <w:rsid w:val="00A86278"/>
    <w:rsid w:val="00A9747A"/>
    <w:rsid w:val="00AA3E0F"/>
    <w:rsid w:val="00AA6B74"/>
    <w:rsid w:val="00AB321A"/>
    <w:rsid w:val="00AC489F"/>
    <w:rsid w:val="00B06AB8"/>
    <w:rsid w:val="00B46715"/>
    <w:rsid w:val="00B5730E"/>
    <w:rsid w:val="00BA187F"/>
    <w:rsid w:val="00BC2338"/>
    <w:rsid w:val="00CB430B"/>
    <w:rsid w:val="00CC58F1"/>
    <w:rsid w:val="00CE7DA6"/>
    <w:rsid w:val="00D229D7"/>
    <w:rsid w:val="00D75E44"/>
    <w:rsid w:val="00D82167"/>
    <w:rsid w:val="00D91511"/>
    <w:rsid w:val="00DC22CA"/>
    <w:rsid w:val="00DD15D9"/>
    <w:rsid w:val="00E32158"/>
    <w:rsid w:val="00E40301"/>
    <w:rsid w:val="00E57E42"/>
    <w:rsid w:val="00E86A12"/>
    <w:rsid w:val="00EA2954"/>
    <w:rsid w:val="00EB457C"/>
    <w:rsid w:val="00ED0B53"/>
    <w:rsid w:val="00F160B7"/>
    <w:rsid w:val="00F24A09"/>
    <w:rsid w:val="00F316A1"/>
    <w:rsid w:val="00F520A1"/>
    <w:rsid w:val="00F647F0"/>
    <w:rsid w:val="00F9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15"/>
    <w:pPr>
      <w:spacing w:after="0" w:line="240" w:lineRule="auto"/>
    </w:pPr>
    <w:rPr>
      <w:rFonts w:ascii="Times New Roman" w:eastAsia="Times New Roman" w:hAnsi="Times New Roman" w:cs="Tahoma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773B"/>
    <w:pPr>
      <w:keepNext/>
      <w:jc w:val="center"/>
      <w:outlineLvl w:val="1"/>
    </w:pPr>
    <w:rPr>
      <w:rFonts w:cs="Times New Roman"/>
      <w:color w:val="auto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6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715"/>
    <w:rPr>
      <w:color w:val="0000FF"/>
      <w:u w:val="single"/>
    </w:rPr>
  </w:style>
  <w:style w:type="paragraph" w:styleId="a4">
    <w:name w:val="Body Text"/>
    <w:basedOn w:val="a"/>
    <w:link w:val="a5"/>
    <w:unhideWhenUsed/>
    <w:rsid w:val="00B46715"/>
    <w:pPr>
      <w:widowControl w:val="0"/>
      <w:suppressAutoHyphens/>
      <w:spacing w:after="120"/>
    </w:pPr>
    <w:rPr>
      <w:rFonts w:eastAsia="Andale Sans UI" w:cs="Times New Roman"/>
      <w:color w:val="auto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4671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46715"/>
    <w:pPr>
      <w:widowControl w:val="0"/>
      <w:suppressAutoHyphens/>
      <w:spacing w:after="120" w:line="480" w:lineRule="auto"/>
    </w:pPr>
    <w:rPr>
      <w:rFonts w:ascii="Arial" w:eastAsia="Arial Unicode MS" w:hAnsi="Arial" w:cs="Arial"/>
      <w:kern w:val="2"/>
      <w:szCs w:val="24"/>
      <w:lang w:eastAsia="ar-SA"/>
    </w:rPr>
  </w:style>
  <w:style w:type="character" w:customStyle="1" w:styleId="17pt">
    <w:name w:val="Основной текст + 17 pt"/>
    <w:basedOn w:val="a0"/>
    <w:rsid w:val="00B46715"/>
  </w:style>
  <w:style w:type="character" w:customStyle="1" w:styleId="20">
    <w:name w:val="Заголовок 2 Знак"/>
    <w:basedOn w:val="a0"/>
    <w:link w:val="2"/>
    <w:rsid w:val="005177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rmal (Web)"/>
    <w:basedOn w:val="a"/>
    <w:uiPriority w:val="99"/>
    <w:unhideWhenUsed/>
    <w:rsid w:val="002B5476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table" w:styleId="a7">
    <w:name w:val="Table Grid"/>
    <w:basedOn w:val="a1"/>
    <w:uiPriority w:val="59"/>
    <w:rsid w:val="000A2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header2cols">
    <w:name w:val="contentheader2cols"/>
    <w:basedOn w:val="a"/>
    <w:rsid w:val="00473813"/>
    <w:pPr>
      <w:spacing w:before="51"/>
      <w:ind w:left="257"/>
    </w:pPr>
    <w:rPr>
      <w:rFonts w:cs="Times New Roman"/>
      <w:b/>
      <w:bCs/>
      <w:color w:val="3560A7"/>
      <w:sz w:val="22"/>
      <w:szCs w:val="22"/>
    </w:rPr>
  </w:style>
  <w:style w:type="paragraph" w:customStyle="1" w:styleId="Standard">
    <w:name w:val="Standard"/>
    <w:rsid w:val="008C16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8">
    <w:name w:val="FollowedHyperlink"/>
    <w:basedOn w:val="a0"/>
    <w:uiPriority w:val="99"/>
    <w:semiHidden/>
    <w:unhideWhenUsed/>
    <w:rsid w:val="002C3262"/>
    <w:rPr>
      <w:color w:val="800080" w:themeColor="followedHyperlink"/>
      <w:u w:val="single"/>
    </w:rPr>
  </w:style>
  <w:style w:type="paragraph" w:customStyle="1" w:styleId="Default">
    <w:name w:val="Default"/>
    <w:rsid w:val="00D82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16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49AE97926646806E9A814B06C96E5F12100B67FA373F520B12576200OCP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2018-06-20T06:41:00Z</cp:lastPrinted>
  <dcterms:created xsi:type="dcterms:W3CDTF">2018-06-20T06:43:00Z</dcterms:created>
  <dcterms:modified xsi:type="dcterms:W3CDTF">2018-06-21T06:24:00Z</dcterms:modified>
</cp:coreProperties>
</file>