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 Главы Администрации Зеленовского сельского поселения о проделанной работе за 2 полугодие 2021 года</w:t>
      </w:r>
    </w:p>
    <w:p>
      <w:pPr>
        <w:pStyle w:val="Normal"/>
        <w:widowControl w:val="false"/>
        <w:spacing w:lineRule="atLeast" w:line="10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tLeast" w:line="10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Добрый день уважаемые жители и депутаты Зеленовского сельского поселения!</w:t>
      </w:r>
    </w:p>
    <w:p>
      <w:pPr>
        <w:pStyle w:val="Normal"/>
        <w:widowControl w:val="false"/>
        <w:spacing w:lineRule="atLeast" w:line="10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Я обращаюсь к вам с отчетом за второе полугодие 2021 года, в котором постараюсь отразить  основные моменты в деятельности администрации и Собрания депутатов,  обозначить проблемные вопросы за истекший период. Такая форма взаимодействия с жителями, на мой взгляд, очень важна и эффективна.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Зеленовского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отчетном периоде вся работа Главы Администрации Зеленовского сельского поселения и сельской администрации строилась в соответствии с федеральным и региональным законодательством, Уставом сельского поселения, регламентом администрации Зеленовского сельского поселения,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 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Главным направлением деятельности администрации сельского поселения является: обеспечение жизнедеятельности жителей, что включает в себя, прежде всего, содержание социально-культурной сферы,  благоустройство улиц, дорог,  обеспечение первичных мер пожарной безопасности, развития местного самоуправления.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Правовой основой деятельности органа местного самоуправления является: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соблюдение законов;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обязательное  выполнение Указов и распоряжений Президента РФ, Федеральных законов и прочих нормативных актов Правительства России.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Надо признать, что не все наказы жителей удалось выполнить из-за отсутствия финансовых средств. Однако нельзя отрицать и того, что немало сделано для развития поселения.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rFonts w:eastAsia="Times New Roman" w:cs="Times New Roman"/>
          <w:b/>
          <w:b/>
          <w:i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Работа с обращениями граждан</w:t>
      </w:r>
    </w:p>
    <w:p>
      <w:pPr>
        <w:pStyle w:val="Normal"/>
        <w:ind w:firstLine="708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За отчетный период, на личный прием  к Главе администрации, главе поселения, депутатам Собрания депутатов  обратилось 24 человека по самым разнообразным вопросам.  За 2 полугодие 2021 года в Администрацию Зеленовского сельского поселения поступило18 обращений граждан.</w:t>
      </w:r>
    </w:p>
    <w:p>
      <w:pPr>
        <w:pStyle w:val="Normal"/>
        <w:suppressAutoHyphens w:val="false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основном, обращения граждан связанны с вопросами: переоформления недвижимого имущества (выписка из похозяйственной книги о наличии земельного участка, выписка из похозяйственной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FF0000"/>
          <w:sz w:val="28"/>
          <w:szCs w:val="28"/>
        </w:rPr>
        <w:t xml:space="preserve"> </w:t>
      </w:r>
    </w:p>
    <w:p>
      <w:pPr>
        <w:pStyle w:val="Normal"/>
        <w:ind w:firstLine="708"/>
        <w:jc w:val="center"/>
        <w:rPr>
          <w:rFonts w:eastAsia="Times New Roman" w:cs="Times New Roman"/>
          <w:b/>
          <w:b/>
          <w:i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ПРАВОВАЯ РАБОТА</w:t>
      </w:r>
    </w:p>
    <w:p>
      <w:pPr>
        <w:pStyle w:val="Normal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За  2 полугодие 2021 года издано 64  Постановлений Администрации </w:t>
      </w:r>
      <w:r>
        <w:rPr>
          <w:rFonts w:eastAsia="Times New Roman" w:cs="Times New Roman"/>
          <w:color w:val="000000"/>
          <w:sz w:val="28"/>
          <w:szCs w:val="28"/>
        </w:rPr>
        <w:t>Зеленовского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поселения,   39  Распоряжения по основной деятельности, выдано 38 справок и выписок населению.</w:t>
      </w:r>
    </w:p>
    <w:p>
      <w:pPr>
        <w:pStyle w:val="Normal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Сотрудниками Администрации регулярно проводились подворовые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получено входящих писем –334, исходящие-  492письма).  </w:t>
      </w:r>
    </w:p>
    <w:p>
      <w:pPr>
        <w:pStyle w:val="Style16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Проекты решений и  постановлений Администрации направляются в прокуратуру района.</w:t>
      </w:r>
    </w:p>
    <w:p>
      <w:pPr>
        <w:pStyle w:val="Normal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«Родная сторона», «Информационный вестник Зеленовского сельского поселения»  где размещаются нормативные документы, график приема главы и сотрудников администрации, вся информация пополняется. Вы все можете видеть новости поселения, объявления, наши успехи и достижения, а также проблемы, над которыми мы работаем.</w:t>
      </w:r>
    </w:p>
    <w:p>
      <w:pPr>
        <w:pStyle w:val="Normal"/>
        <w:ind w:firstLine="708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FF0000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eastAsia="Calibri" w:cs="Times New Roman"/>
          <w:b/>
          <w:b/>
          <w:i/>
          <w:i/>
          <w:u w:val="single"/>
        </w:rPr>
      </w:pPr>
      <w:r>
        <w:rPr>
          <w:rFonts w:eastAsia="Calibri" w:cs="Times New Roman"/>
          <w:b/>
          <w:i/>
          <w:u w:val="single"/>
        </w:rPr>
        <w:t>КАДРОВАЯ РАБОТА</w:t>
      </w:r>
    </w:p>
    <w:p>
      <w:pPr>
        <w:pStyle w:val="Normal"/>
        <w:spacing w:lineRule="atLeast" w:line="10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sz w:val="28"/>
          <w:szCs w:val="28"/>
        </w:rPr>
        <w:t xml:space="preserve">Штатная численность работников Администрации </w:t>
      </w:r>
      <w:r>
        <w:rPr>
          <w:rFonts w:eastAsia="Times New Roman" w:cs="Times New Roman"/>
          <w:color w:val="000000"/>
          <w:sz w:val="28"/>
          <w:szCs w:val="28"/>
        </w:rPr>
        <w:t>Зеленовского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на 01.01.2022 составляет 10 человек, из них: муниципальных служащих — 7, технических работников – 1, группа по обслуживанию– 2.</w:t>
      </w:r>
    </w:p>
    <w:p>
      <w:pPr>
        <w:pStyle w:val="Normal"/>
        <w:spacing w:lineRule="atLeast" w:line="100"/>
        <w:jc w:val="both"/>
        <w:rPr>
          <w:rFonts w:eastAsia="Calibri" w:cs="Times New Roman"/>
          <w:b/>
          <w:b/>
          <w:color w:val="000000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eastAsia="Times New Roman" w:cs="Times New Roman"/>
          <w:sz w:val="28"/>
          <w:szCs w:val="28"/>
        </w:rPr>
        <w:t xml:space="preserve">За  2 полугодие 2021 года  издано </w:t>
      </w:r>
      <w:r>
        <w:rPr>
          <w:rFonts w:eastAsia="Times New Roman" w:cs="Times New Roman"/>
          <w:sz w:val="28"/>
          <w:szCs w:val="28"/>
        </w:rPr>
        <w:t>31</w:t>
      </w:r>
      <w:r>
        <w:rPr>
          <w:rFonts w:eastAsia="Times New Roman" w:cs="Times New Roman"/>
          <w:sz w:val="28"/>
          <w:szCs w:val="28"/>
        </w:rPr>
        <w:t xml:space="preserve"> распоряжение по личному</w:t>
      </w:r>
      <w:r>
        <w:rPr>
          <w:rFonts w:eastAsia="Times New Roman" w:cs="Times New Roman"/>
          <w:color w:val="000000"/>
          <w:sz w:val="28"/>
          <w:szCs w:val="28"/>
        </w:rPr>
        <w:t xml:space="preserve"> составу.</w:t>
      </w:r>
    </w:p>
    <w:p>
      <w:pPr>
        <w:pStyle w:val="Normal"/>
        <w:spacing w:lineRule="atLeast" w:line="100"/>
        <w:jc w:val="center"/>
        <w:rPr>
          <w:rFonts w:eastAsia="Calibri" w:cs="Times New Roman"/>
          <w:b/>
          <w:b/>
          <w:color w:val="000000"/>
          <w:highlight w:val="yellow"/>
        </w:rPr>
      </w:pPr>
      <w:r>
        <w:rPr>
          <w:rFonts w:eastAsia="Calibri" w:cs="Times New Roman"/>
          <w:b/>
          <w:color w:val="000000"/>
          <w:highlight w:val="yellow"/>
        </w:rPr>
      </w:r>
    </w:p>
    <w:p>
      <w:pPr>
        <w:pStyle w:val="Normal"/>
        <w:spacing w:lineRule="atLeast" w:line="100"/>
        <w:jc w:val="center"/>
        <w:rPr>
          <w:rFonts w:eastAsia="Calibri" w:cs="Times New Roman"/>
          <w:b/>
          <w:b/>
          <w:i/>
          <w:i/>
          <w:color w:val="000000"/>
          <w:u w:val="single"/>
        </w:rPr>
      </w:pPr>
      <w:r>
        <w:rPr>
          <w:rFonts w:eastAsia="Calibri" w:cs="Times New Roman"/>
          <w:b/>
          <w:i/>
          <w:color w:val="000000"/>
          <w:u w:val="single"/>
        </w:rPr>
        <w:t>АРХИВНАЯ РАБОТА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В 2021 году составлены и утверждены в установленном порядке описи дел  постоянного хранения Администрации Зеленовского сельского поселения и Собрания депутатов Зеленовского сельского поселения за 2017 год. </w:t>
      </w:r>
    </w:p>
    <w:p>
      <w:pPr>
        <w:pStyle w:val="Normal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Документы постоянного хранения за 2016 год  – упорядочены, описаны и переданы на государственное хранение в муниципальный архив Тарасовского  района.</w:t>
      </w:r>
    </w:p>
    <w:p>
      <w:pPr>
        <w:pStyle w:val="Normal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Документы по личному составу включены в опись № 1-Л за 2016 год в количестве 2 единиц, хранятся  в Администрации </w:t>
      </w:r>
      <w:r>
        <w:rPr>
          <w:rFonts w:eastAsia="Times New Roman" w:cs="Times New Roman"/>
          <w:color w:val="000000"/>
          <w:sz w:val="28"/>
          <w:szCs w:val="28"/>
        </w:rPr>
        <w:t>Зеленовского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поселения.      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</w:t>
      </w:r>
    </w:p>
    <w:p>
      <w:pPr>
        <w:pStyle w:val="Normal"/>
        <w:ind w:firstLine="708"/>
        <w:jc w:val="center"/>
        <w:rPr>
          <w:rFonts w:eastAsia="Times New Roman" w:cs="Times New Roman"/>
          <w:b/>
          <w:b/>
          <w:i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Формирование, утверждение и исполнение бюджета</w:t>
      </w:r>
    </w:p>
    <w:p>
      <w:pPr>
        <w:pStyle w:val="Normal"/>
        <w:ind w:firstLine="708"/>
        <w:jc w:val="center"/>
        <w:rPr>
          <w:rFonts w:eastAsia="Times New Roman" w:cs="Times New Roman"/>
          <w:b/>
          <w:b/>
          <w:i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</w:rPr>
        <w:t>Бюджет Зеленовского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сельского поселения на 2021 год и на плановый период 2022 и 2023 годов утвержден решением Собрания депутатов Зеленовского сельского поселения от 28.12.2020 г № 143.  В течение финансового года по мере решения поставленных задач в доходную и расходую часть бюджета поселения, вносились изменения.</w:t>
      </w:r>
      <w:r>
        <w:rPr>
          <w:rFonts w:eastAsia="Times New Roman" w:cs="Times New Roman"/>
          <w:lang w:eastAsia="ru-RU"/>
        </w:rPr>
        <w:t xml:space="preserve"> </w:t>
      </w:r>
    </w:p>
    <w:p>
      <w:pPr>
        <w:pStyle w:val="Normal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 2021 год бюджет по доходам исполнен в сумме 8944,4 тыс. рублей, или 102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%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 годовому плану – 8749,6 тыс. рублей. Налоговые и неналоговые доходы бюджета поселения (собственные доходы) исполнены в сумме 3821 тыс. рублей, или 106 % к годовому плану – 3619 тыс. рублей, в том числе:</w:t>
      </w:r>
    </w:p>
    <w:p>
      <w:pPr>
        <w:pStyle w:val="Normal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налог на доходы физических лиц- 396 тыс. рублей (173% к плану 229 тыс. рублей); </w:t>
      </w:r>
    </w:p>
    <w:p>
      <w:pPr>
        <w:pStyle w:val="Normal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единый сельскохозяйственный налог – 1641 тыс. рублей, или 101% к годовому плану – 1624 тыс. рублей;</w:t>
      </w:r>
    </w:p>
    <w:p>
      <w:pPr>
        <w:pStyle w:val="Normal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налог на имущество физических лиц- 71 тыс. рублей, или исполнение 101% к годовому плану 67 тыс. рублей; </w:t>
      </w:r>
    </w:p>
    <w:p>
      <w:pPr>
        <w:pStyle w:val="Normal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земельный налог- 1680 тыс. рублей, или 99% к годовому плану 1667 тыс. рублей); </w:t>
      </w:r>
    </w:p>
    <w:p>
      <w:pPr>
        <w:pStyle w:val="Normal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доходы от использования имущества – 28 тыс. рублей, или исполнение 100%, к годовому плану – 28 тыс. рублей; </w:t>
      </w:r>
    </w:p>
    <w:p>
      <w:pPr>
        <w:pStyle w:val="Normal"/>
        <w:ind w:firstLine="709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- доходы от продажи материальных и нематериальных активов – ___ тыс. рублей.</w:t>
      </w:r>
    </w:p>
    <w:p>
      <w:pPr>
        <w:pStyle w:val="Normal"/>
        <w:ind w:firstLine="709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штрафы, санкции, возмещение ущерба – 0,1 тыс. рублей  </w:t>
      </w:r>
    </w:p>
    <w:p>
      <w:pPr>
        <w:pStyle w:val="Normal"/>
        <w:ind w:firstLine="709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/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В сравнении с соответствующим периодом прошлого года объем собственных доходов уменьшился(увеличился) на 657 тыс. рублей  . Это обусловлено.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Объем безвозмездных поступлений за 2021 год составил 5124 тыс. рублей или 100 % к годовым плановым назначениям – 5124 тыс. рублей, в том числе: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дотация на сбалансированность бюджета – 4074 тыс. рублей исполнение 100%;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субвенции – 96,3 тыс. рублей, в том числе на первичный воинский учет поступило - 96,3 тыс. рублей и 0,2 тыс. рублей - на</w:t>
      </w:r>
      <w:r>
        <w:rPr/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осуществление полномочий по определению перечня должностных лиц, уполномоченных составлять протоколы об административных правонарушениях исполнение 100%;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954 тыс. рублей (99 % к плану 961 тыс. рублей);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прочие межбюджетные трансферты, передаваемые бюджетам сельских поселений – 1,2 тыс. рублей исполнение 100%.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Запланировано в бюджете расходов на сумму</w:t>
      </w:r>
      <w:r>
        <w:rPr>
          <w:rFonts w:eastAsia="Times New Roman" w:cs="Times New Roman"/>
          <w:sz w:val="28"/>
          <w:szCs w:val="28"/>
          <w:lang w:eastAsia="ru-RU"/>
        </w:rPr>
        <w:t xml:space="preserve"> 10750 тыс. рублей, использовано за 2021 год 10025 тыс.  рублей (93%).</w:t>
      </w:r>
    </w:p>
    <w:p>
      <w:pPr>
        <w:pStyle w:val="Normal"/>
        <w:tabs>
          <w:tab w:val="clear" w:pos="708"/>
          <w:tab w:val="left" w:pos="2310" w:leader="none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Основные направления расходов</w:t>
      </w:r>
      <w:r>
        <w:rPr/>
        <w:t xml:space="preserve"> </w:t>
      </w:r>
      <w:r>
        <w:rPr>
          <w:rFonts w:eastAsia="Calibri" w:cs="Times New Roman"/>
          <w:color w:val="000000"/>
          <w:sz w:val="28"/>
          <w:szCs w:val="28"/>
        </w:rPr>
        <w:t xml:space="preserve">бюджета </w:t>
      </w:r>
      <w:r>
        <w:rPr>
          <w:rFonts w:eastAsia="Times New Roman" w:cs="Times New Roman"/>
          <w:color w:val="000000"/>
          <w:sz w:val="28"/>
          <w:szCs w:val="28"/>
        </w:rPr>
        <w:t>Зеленовского</w:t>
      </w:r>
      <w:r>
        <w:rPr>
          <w:rFonts w:eastAsia="Calibri" w:cs="Times New Roman"/>
          <w:color w:val="000000"/>
          <w:sz w:val="28"/>
          <w:szCs w:val="28"/>
        </w:rPr>
        <w:t xml:space="preserve"> сельского поселения по разделам:</w:t>
      </w:r>
    </w:p>
    <w:p>
      <w:pPr>
        <w:pStyle w:val="Normal"/>
        <w:tabs>
          <w:tab w:val="clear" w:pos="708"/>
          <w:tab w:val="left" w:pos="2310" w:leader="none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2310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Общегосударственные вопросы – 4974 тыс. рублей </w:t>
      </w:r>
      <w:r>
        <w:rPr>
          <w:rFonts w:eastAsia="Times New Roman" w:cs="Times New Roman"/>
          <w:color w:val="000000"/>
          <w:sz w:val="28"/>
          <w:szCs w:val="28"/>
        </w:rPr>
        <w:t>(102 % к годовому плану – 5068 тыс. рублей):</w:t>
      </w:r>
    </w:p>
    <w:p>
      <w:pPr>
        <w:pStyle w:val="Normal"/>
        <w:tabs>
          <w:tab w:val="clear" w:pos="708"/>
          <w:tab w:val="left" w:pos="2310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spacing w:lineRule="atLeast" w:line="10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том числе: расходы на заработную плату, начисления на оплату труда,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ежегодного взноса в членстве Совета муниципальных образований, обслуживание информационных систем администрации, подписка на печатные издания, размещение информационных материалов, диспансеризацию муниципальных служащих  и др., т.е. расходы необходимые для выполнения текущей работы, повышения эффективности выполнения функций и полномочий. </w:t>
      </w:r>
    </w:p>
    <w:p>
      <w:pPr>
        <w:pStyle w:val="Normal"/>
        <w:ind w:firstLine="709"/>
        <w:jc w:val="both"/>
        <w:rPr>
          <w:rFonts w:eastAsia="Calibri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 xml:space="preserve">Национальная оборона – 96,1 тыс. рублей </w:t>
      </w:r>
      <w:r>
        <w:rPr>
          <w:rFonts w:eastAsia="Calibri" w:cs="Times New Roman"/>
          <w:color w:val="000000"/>
          <w:sz w:val="28"/>
          <w:szCs w:val="28"/>
        </w:rPr>
        <w:t>исполнение 100%.</w:t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В данный раздел входят расходы на содержание специалиста по воинскому учету за счет средств федерального бюджета (заработная плата с начислениями, приобретение расходных материалов). Воинский учет Администрацией ведется в соответствии с требованиями РФ  « О воинской обязанности и военной службе». Всего на первичном воинском учете в сельском поселении состоит 262 человек, из них:</w:t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 0 офицеров;</w:t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- 262 сержантов, солдат, матросов;</w:t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- 4 человек призывного возраста, </w:t>
      </w:r>
    </w:p>
    <w:p>
      <w:pPr>
        <w:pStyle w:val="Normal"/>
        <w:ind w:firstLine="709"/>
        <w:jc w:val="both"/>
        <w:rPr/>
      </w:pPr>
      <w:r>
        <w:rPr>
          <w:rFonts w:eastAsia="Calibri" w:cs="Times New Roman"/>
          <w:color w:val="000000"/>
          <w:sz w:val="28"/>
          <w:szCs w:val="28"/>
          <w:shd w:fill="auto" w:val="clear"/>
        </w:rPr>
        <w:t>- 5 человек получили приписные удостоверения.</w:t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 xml:space="preserve">Национальная безопасность и правоохранительная деятельность – 10 тыс. рублей </w:t>
      </w:r>
      <w:r>
        <w:rPr>
          <w:rFonts w:eastAsia="Calibri" w:cs="Times New Roman"/>
          <w:color w:val="000000"/>
          <w:sz w:val="28"/>
          <w:szCs w:val="28"/>
        </w:rPr>
        <w:t>(33% к годовому плану – 30,0 тыс. рублей):</w:t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 xml:space="preserve">        </w:t>
      </w:r>
      <w:r>
        <w:rPr>
          <w:rFonts w:eastAsia="Calibri" w:cs="Times New Roman"/>
          <w:b/>
          <w:color w:val="000000"/>
          <w:sz w:val="28"/>
          <w:szCs w:val="28"/>
        </w:rPr>
        <w:t>Национальная экономика – 822,6 тыс. рублей</w:t>
      </w:r>
      <w:r>
        <w:rPr>
          <w:rFonts w:eastAsia="Calibri" w:cs="Times New Roman"/>
          <w:color w:val="000000"/>
          <w:sz w:val="28"/>
          <w:szCs w:val="28"/>
        </w:rPr>
        <w:t xml:space="preserve"> (99,8 % к годовому плану – 823,5тыс. рублей) расходы на </w:t>
      </w:r>
      <w:r>
        <w:rPr>
          <w:rFonts w:eastAsia="Calibri" w:cs="Times New Roman"/>
          <w:color w:val="000000"/>
          <w:sz w:val="28"/>
          <w:szCs w:val="28"/>
          <w:u w:val="single"/>
        </w:rPr>
        <w:t>дорожное хозяйство.</w:t>
      </w:r>
    </w:p>
    <w:p>
      <w:pPr>
        <w:pStyle w:val="Normal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 xml:space="preserve">Жилищно - коммунальное хозяйство – 1725 тыс. рублей </w:t>
      </w:r>
      <w:r>
        <w:rPr>
          <w:rFonts w:eastAsia="Calibri" w:cs="Times New Roman"/>
          <w:color w:val="000000"/>
          <w:sz w:val="28"/>
          <w:szCs w:val="28"/>
        </w:rPr>
        <w:t>(77% к годовому плану – 2246 тыс. рублей):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расходы на благоустройство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– 1658 тыс. рублей:  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содержание уличного освещение – 2157 тыс. рублей (оплата электроэнергии и техническое обслуживание); 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капитальный ремонт памятников х.Зеленовка и х.Чеботовка – 529 тыс. рублей;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приобретение детской площадки –150 тыс. рублей;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приобретение ограждения для детской площадки 173,9 тыс. рублей;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спил и обрезка деревьев – 72 тыс. рублей;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 противоклещевая обработка – 10,0 тыс. рублей;</w:t>
      </w:r>
    </w:p>
    <w:p>
      <w:pPr>
        <w:pStyle w:val="Normal"/>
        <w:suppressAutoHyphens w:val="false"/>
        <w:spacing w:before="180" w:after="180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color w:val="FF0000"/>
          <w:sz w:val="28"/>
          <w:szCs w:val="28"/>
          <w:lang w:eastAsia="ru-RU"/>
        </w:rPr>
      </w:r>
    </w:p>
    <w:p>
      <w:pPr>
        <w:pStyle w:val="Normal"/>
        <w:suppressAutoHyphens w:val="false"/>
        <w:spacing w:before="180" w:after="180"/>
        <w:rPr>
          <w:rFonts w:eastAsia="Times New Roman" w:cs="Times New Roman"/>
          <w:kern w:val="0"/>
          <w:lang w:eastAsia="zh-CN" w:bidi="ar-SA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 поселения.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>
      <w:pPr>
        <w:pStyle w:val="Normal"/>
        <w:suppressAutoHyphens w:val="false"/>
        <w:spacing w:before="180" w:after="180"/>
        <w:rPr/>
      </w:pPr>
      <w:r>
        <w:rPr>
          <w:color w:val="000000"/>
          <w:sz w:val="28"/>
          <w:szCs w:val="28"/>
          <w:lang w:eastAsia="ru-RU"/>
        </w:rPr>
        <w:t xml:space="preserve">     </w:t>
      </w:r>
      <w:r>
        <w:rPr>
          <w:color w:val="000000"/>
          <w:sz w:val="28"/>
          <w:szCs w:val="28"/>
          <w:lang w:eastAsia="ru-RU"/>
        </w:rPr>
        <w:t>Таким образом, общими усилиями выполнены следующие работы:</w:t>
      </w:r>
    </w:p>
    <w:p>
      <w:pPr>
        <w:pStyle w:val="Normal"/>
        <w:suppressAutoHyphens w:val="false"/>
        <w:spacing w:before="180" w:after="180"/>
        <w:rPr/>
      </w:pPr>
      <w:r>
        <w:rPr>
          <w:color w:val="000000"/>
          <w:sz w:val="28"/>
          <w:szCs w:val="28"/>
          <w:lang w:eastAsia="ru-RU"/>
        </w:rPr>
        <w:t>В течение всего года еженедельно специалистами Администрации, работниками культуры проводятся субботники по очистке территории поселения от мусора, проводится уборка мусора вдоль дороги.</w:t>
      </w:r>
    </w:p>
    <w:p>
      <w:pPr>
        <w:pStyle w:val="Normal"/>
        <w:suppressAutoHyphens w:val="false"/>
        <w:spacing w:before="180" w:after="180"/>
        <w:rPr/>
      </w:pPr>
      <w:r>
        <w:rPr>
          <w:color w:val="000000"/>
          <w:sz w:val="28"/>
          <w:szCs w:val="28"/>
          <w:lang w:eastAsia="ru-RU"/>
        </w:rPr>
        <w:t>Администрация поселения постоянно организовывает субботники в хуторах поселения с привлечением организаций, населения поселения с целью наведения порядка на прилегающих территориях к предприятиям, частным домовладениям. В сентябре месяце силами администрации и работников культуры был наведен порядок у воинских захоронений на территории поселения.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Муниципальная политика(образование) – 36 тыс. рублей </w:t>
      </w:r>
      <w:r>
        <w:rPr>
          <w:rFonts w:eastAsia="Times New Roman" w:cs="Times New Roman"/>
          <w:sz w:val="28"/>
          <w:szCs w:val="28"/>
          <w:lang w:eastAsia="ru-RU"/>
        </w:rPr>
        <w:t>исполнение 100 %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Calibri" w:cs="Times New Roman"/>
          <w:sz w:val="28"/>
          <w:szCs w:val="28"/>
        </w:rPr>
        <w:t>расходы на обучение _7-х человек ).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Культура, кинематография – 2143 тыс. рублей </w:t>
      </w:r>
      <w:r>
        <w:rPr>
          <w:rFonts w:eastAsia="Times New Roman" w:cs="Times New Roman"/>
          <w:sz w:val="28"/>
          <w:szCs w:val="28"/>
          <w:lang w:eastAsia="ru-RU"/>
        </w:rPr>
        <w:t>исполнение 99,7%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расходы на выполнение муниципального задания).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tLeast" w:line="10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Социальная политика – 218 тыс. рублей </w:t>
      </w:r>
      <w:r>
        <w:rPr>
          <w:rFonts w:eastAsia="Times New Roman" w:cs="Times New Roman"/>
          <w:sz w:val="28"/>
          <w:szCs w:val="28"/>
        </w:rPr>
        <w:t>(72,6% к годовому плану):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расходы на социальную поддержку лиц из числа муниципальных служащих, имеющих право на получение государственной пенсии за выслугу лет.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2310" w:leader="none"/>
        </w:tabs>
        <w:ind w:firstLine="709"/>
        <w:jc w:val="both"/>
        <w:rPr>
          <w:rFonts w:eastAsia="Calibri" w:cs="Times New Roman"/>
          <w:color w:val="FF0000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</w:r>
    </w:p>
    <w:p>
      <w:pPr>
        <w:pStyle w:val="Normal"/>
        <w:suppressAutoHyphens w:val="false"/>
        <w:spacing w:lineRule="auto" w:line="276" w:before="0" w:afterAutospacing="1"/>
        <w:ind w:firstLine="708"/>
        <w:jc w:val="center"/>
        <w:rPr>
          <w:rFonts w:eastAsia="Times New Roman" w:cs="Times New Roman"/>
          <w:i/>
          <w:i/>
          <w:color w:val="000000"/>
          <w:kern w:val="0"/>
          <w:sz w:val="28"/>
          <w:szCs w:val="28"/>
          <w:u w:val="single"/>
          <w:lang w:eastAsia="ru-RU" w:bidi="ar-SA"/>
        </w:rPr>
      </w:pPr>
      <w:r>
        <w:rPr>
          <w:b/>
          <w:i/>
          <w:color w:val="000000"/>
          <w:sz w:val="28"/>
          <w:szCs w:val="28"/>
          <w:u w:val="single"/>
        </w:rPr>
        <w:t>Управление земельными участками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Общая площадь земель на территории  Зеленовского сельского поселения составляет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19073 га, из них земли сельскохозяйственного назначения составляют 17281га, основную часть этих земель обрабатывают сельскохозяйственные предприятия  по выращиванию зерновых и масляничных культур, наиболее крупными из которых являются: ИП «Чубатов И.Н» глава КФХ, ИП «Алпатов В.С.» глава КФХ,  ИП «Ревенко Н.В.» глава КФХ, ИП «Косоротов В.П..» глава КФХ.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 w:eastAsiaTheme="minorHAnsi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 w:eastAsiaTheme="minorHAnsi"/>
          <w:bCs/>
          <w:kern w:val="0"/>
          <w:sz w:val="28"/>
          <w:szCs w:val="28"/>
          <w:lang w:eastAsia="en-US" w:bidi="ar-SA"/>
        </w:rPr>
        <w:t xml:space="preserve">За отчетный период поступило  6 извещений </w:t>
      </w:r>
      <w:r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 Администрация Зеленовского сельского поселения отказалась от покупки данных земельных участков, уведомив об этом продавцов в письменной форме.</w:t>
      </w:r>
    </w:p>
    <w:p>
      <w:pPr>
        <w:pStyle w:val="Normal"/>
        <w:suppressAutoHyphens w:val="false"/>
        <w:spacing w:lineRule="auto" w:line="259" w:before="0" w:after="160"/>
        <w:ind w:firstLine="708"/>
        <w:jc w:val="both"/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/>
          <w:color w:val="000000"/>
          <w:kern w:val="0"/>
          <w:sz w:val="28"/>
          <w:szCs w:val="28"/>
          <w:lang w:eastAsia="en-US" w:bidi="ar-SA"/>
        </w:rPr>
        <w:t>По результатам рейдов составлено и направлено для рассмотрения в административную комиссию Тарасовского района 25 протоколов об административных правонарушениях за нарушение Правил благоустройства территорий Зеленовского сельского поселения.</w:t>
      </w:r>
      <w:r>
        <w:rPr>
          <w:rFonts w:eastAsia="Calibri" w:cs="Times New Roman" w:eastAsiaTheme="minorHAnsi"/>
          <w:color w:val="FF0000"/>
          <w:kern w:val="0"/>
          <w:sz w:val="28"/>
          <w:szCs w:val="28"/>
          <w:lang w:eastAsia="en-US" w:bidi="ar-SA"/>
        </w:rPr>
        <w:t xml:space="preserve"> 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полугодия Администрацией проводилась работа по выдаче документов для оформления прав собственности граждан на землю в упрощенном порядке, всего за второе полугодие 2021года выдано 11 выписок из похозяйственных книг,  7 выписок ОСЗН для оформления льгот. Администрацией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ведется похозяйственный учет всех землевладений и землепользований граждан.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Продолжается работа по оформлению невостребованных земельных долей в собственность МО. Исковые заявления администрации Зеленовского сельского поселения о признании права собственности на невостребованные земельные доли были рассмотрены  и вынесены  решения суда   в пользу МО. Дальнейшая работа по регистрации права собственности и межевания земельных участков на стадии завершения. 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Начата процедура оформления выморочного имущества.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Оформлено  отчуждение земельного участка в собственность МО, которое  в силу закона не может принадлежать данному лицу.  Предусматривается заключение  договора аренды на  земельный участок, находящийся  в муниципальной собственности.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Ведется тесная работа с налоговой инспекцией. По запросам Администрации, налоговым органом в рамках взаимодействия предоставляется информация по должникам. Плательщики, у которых числится задолженность по налогам и сборам   приглашаются на заседание координационного Совета.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Так за 2021 год проведено 6 заседания Координационного Совета. Приглашено 18 физических лиц  в результате работы погашено – 10 тыс. руб.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Территорию Зеленовского поселения  в настоящее время освещают 65 светильников уличного освещения в хуторе Зеленовка.    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На основании  утвержденной  Росреестром  «дорожной карты» реализации мероприятий по проекту «Наполнение Единого государственного реестра недвижимости (ЕГРН) необходимыми сведениями»,    Администрация Зеленовского сельского поселения продолжает начатую работу по наполнению реестра недвижимости актуальными сведениями. </w:t>
      </w:r>
    </w:p>
    <w:p>
      <w:pPr>
        <w:pStyle w:val="Normal"/>
        <w:suppressAutoHyphens w:val="false"/>
        <w:spacing w:lineRule="auto" w:line="276" w:before="0" w:afterAutospacing="1"/>
        <w:ind w:firstLine="708"/>
        <w:jc w:val="both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  <w:t xml:space="preserve">       </w:t>
      </w: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  <w:t>Управление муниципальным имуществом</w:t>
      </w:r>
    </w:p>
    <w:p>
      <w:pPr>
        <w:pStyle w:val="NormalWeb"/>
        <w:spacing w:lineRule="auto" w:line="276" w:beforeAutospacing="0" w:before="0" w:after="28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Администрацией осуществлялась планомерная работа в сфере управления и распоряжения </w:t>
      </w:r>
      <w:r>
        <w:rPr>
          <w:bCs/>
          <w:sz w:val="28"/>
          <w:szCs w:val="28"/>
        </w:rPr>
        <w:t xml:space="preserve">муниципальным имуществом. Всего в реестре муниципального имущества значится 19 объектов недвижимого имущества и 30 объектов движимого имущества.   </w:t>
      </w:r>
    </w:p>
    <w:p>
      <w:pPr>
        <w:pStyle w:val="NormalWeb"/>
        <w:spacing w:lineRule="auto" w:line="276" w:beforeAutospacing="0" w:before="0" w:after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>
        <w:rPr>
          <w:bCs/>
          <w:i/>
          <w:color w:val="000000"/>
          <w:sz w:val="28"/>
          <w:szCs w:val="28"/>
        </w:rPr>
        <w:t>Задачи на 2022 год следующие:</w:t>
      </w:r>
    </w:p>
    <w:p>
      <w:pPr>
        <w:pStyle w:val="NormalWeb"/>
        <w:numPr>
          <w:ilvl w:val="0"/>
          <w:numId w:val="4"/>
        </w:numPr>
        <w:spacing w:lineRule="auto" w:line="276"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Увеличение налоговых поступлений в бюджет поселения,</w:t>
      </w:r>
    </w:p>
    <w:p>
      <w:pPr>
        <w:pStyle w:val="NormalWeb"/>
        <w:numPr>
          <w:ilvl w:val="0"/>
          <w:numId w:val="5"/>
        </w:numPr>
        <w:spacing w:lineRule="auto" w:line="276"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Соблюдение Правил благоустройства территории,</w:t>
      </w:r>
    </w:p>
    <w:p>
      <w:pPr>
        <w:pStyle w:val="NormalWeb"/>
        <w:numPr>
          <w:ilvl w:val="0"/>
          <w:numId w:val="6"/>
        </w:numPr>
        <w:spacing w:lineRule="auto" w:line="276"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Ликвидация мусорных свалок,</w:t>
      </w:r>
    </w:p>
    <w:p>
      <w:pPr>
        <w:pStyle w:val="NormalWeb"/>
        <w:numPr>
          <w:ilvl w:val="0"/>
          <w:numId w:val="7"/>
        </w:numPr>
        <w:spacing w:lineRule="auto" w:line="276"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Грейдерование дорог в поселении,</w:t>
      </w:r>
    </w:p>
    <w:p>
      <w:pPr>
        <w:pStyle w:val="NormalWeb"/>
        <w:numPr>
          <w:ilvl w:val="0"/>
          <w:numId w:val="8"/>
        </w:numPr>
        <w:spacing w:lineRule="auto" w:line="276" w:beforeAutospacing="0" w:before="0" w:afterAutospacing="0" w:after="0"/>
        <w:jc w:val="both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Установка и содержание  уличного освещения в поселении.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 поселении, будет направлена на решение одной задачи — сделать сельское поселение лучшим, уютным, комфортным и благоустроенным. Огромная благодарность жителям, депутатам, предпринимателям и руководителям предприятий, за оказанную помощь в проведении культурно-массовых мероприятий, в благоустройстве территории и при возникновении чрезвычайных ситуаций.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Желаю всем Вам крепкого здоровья. Огромное Вам  спасибо  за внимание!</w:t>
      </w:r>
    </w:p>
    <w:p>
      <w:pPr>
        <w:pStyle w:val="Normal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ind w:firstLine="708"/>
        <w:jc w:val="center"/>
        <w:rPr>
          <w:rFonts w:eastAsia="Times New Roman" w:cs="Times New Roman"/>
          <w:b/>
          <w:b/>
          <w:i/>
          <w:i/>
          <w:color w:val="000000"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3c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6e3c40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semiHidden/>
    <w:unhideWhenUsed/>
    <w:rsid w:val="006e3c40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6e3c40"/>
    <w:pPr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LibreOffice/7.0.3.1$Windows_X86_64 LibreOffice_project/d7547858d014d4cf69878db179d326fc3483e082</Application>
  <Pages>7</Pages>
  <Words>1858</Words>
  <Characters>12742</Characters>
  <CharactersWithSpaces>14728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2022-02-04T10:30:00Z</dcterms:created>
  <dc:creator>Пользователь Windows</dc:creator>
  <dc:description/>
  <dc:language>ru-RU</dc:language>
  <cp:lastModifiedBy/>
  <dcterms:modified xsi:type="dcterms:W3CDTF">2022-02-14T17:18:31Z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